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745EF2" w:rsidRDefault="00745EF2" w:rsidP="003F7E2F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EF2">
              <w:rPr>
                <w:rFonts w:ascii="Times New Roman" w:hAnsi="Times New Roman"/>
                <w:sz w:val="28"/>
                <w:szCs w:val="28"/>
              </w:rPr>
              <w:t>Автомобіль вантажний FОRD TRANSІT з додатковим обладнанням або еквівалент для потреб ЗСУ та інших військових формувань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2F1"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Pr="00BD1C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1C26">
              <w:rPr>
                <w:rFonts w:ascii="Times New Roman" w:hAnsi="Times New Roman"/>
                <w:sz w:val="28"/>
                <w:szCs w:val="28"/>
              </w:rPr>
              <w:t>34136000-9 — Фургони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745EF2" w:rsidRPr="00745EF2">
              <w:rPr>
                <w:lang w:val="ru-RU"/>
              </w:rPr>
              <w:t>UA-2025-10-14-010308-a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745EF2">
              <w:rPr>
                <w:sz w:val="28"/>
                <w:szCs w:val="28"/>
                <w:lang w:eastAsia="ru-RU"/>
              </w:rPr>
              <w:t>2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745EF2">
              <w:rPr>
                <w:sz w:val="28"/>
                <w:szCs w:val="28"/>
                <w:lang w:eastAsia="ru-RU"/>
              </w:rPr>
              <w:t>191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745EF2">
              <w:rPr>
                <w:sz w:val="28"/>
                <w:szCs w:val="28"/>
                <w:lang w:eastAsia="ru-RU"/>
              </w:rPr>
              <w:t>167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F7E2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945A6F">
              <w:rPr>
                <w:sz w:val="28"/>
                <w:szCs w:val="28"/>
                <w:lang w:val="uk-UA"/>
              </w:rPr>
              <w:t xml:space="preserve">(зі змінами)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3F7E2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4A" w:rsidRDefault="00D5504A">
      <w:r>
        <w:separator/>
      </w:r>
    </w:p>
  </w:endnote>
  <w:endnote w:type="continuationSeparator" w:id="0">
    <w:p w:rsidR="00D5504A" w:rsidRDefault="00D5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4A" w:rsidRDefault="00D5504A">
      <w:r>
        <w:separator/>
      </w:r>
    </w:p>
  </w:footnote>
  <w:footnote w:type="continuationSeparator" w:id="0">
    <w:p w:rsidR="00D5504A" w:rsidRDefault="00D55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451F0"/>
    <w:rsid w:val="00745EF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1C2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5504A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838B-9814-4BEB-AD33-96F97B62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EA81-6435-4129-A0E9-98E8FCEE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1323</Characters>
  <Application>Microsoft Office Word</Application>
  <DocSecurity>0</DocSecurity>
  <Lines>189</Lines>
  <Paragraphs>156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2025-11-07T07:54:00Z</dcterms:created>
  <dcterms:modified xsi:type="dcterms:W3CDTF">2025-11-07T07:54:00Z</dcterms:modified>
</cp:coreProperties>
</file>